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56" w:rsidRPr="000A0756" w:rsidRDefault="000A0756" w:rsidP="000A0756">
      <w:pPr>
        <w:keepNext/>
        <w:keepLines/>
        <w:widowControl w:val="0"/>
        <w:numPr>
          <w:ilvl w:val="1"/>
          <w:numId w:val="0"/>
        </w:numPr>
        <w:adjustRightInd w:val="0"/>
        <w:snapToGrid w:val="0"/>
        <w:spacing w:before="260" w:after="260" w:line="240" w:lineRule="auto"/>
        <w:ind w:left="567" w:hanging="576"/>
        <w:jc w:val="center"/>
        <w:outlineLvl w:val="1"/>
        <w:rPr>
          <w:rFonts w:ascii="Times New Roman" w:eastAsia="SimSun" w:hAnsi="Times New Roman" w:cs="Times New Roman"/>
          <w:b/>
          <w:color w:val="000000"/>
          <w:sz w:val="36"/>
          <w:szCs w:val="36"/>
          <w:lang w:eastAsia="zh-CN"/>
        </w:rPr>
      </w:pPr>
      <w:bookmarkStart w:id="0" w:name="_Toc404547372"/>
      <w:r w:rsidRPr="000A0756">
        <w:rPr>
          <w:rFonts w:ascii="Times New Roman" w:eastAsia="SimSun" w:hAnsi="Times New Roman" w:cs="Times New Roman"/>
          <w:b/>
          <w:color w:val="000000"/>
          <w:sz w:val="36"/>
          <w:szCs w:val="36"/>
          <w:lang w:eastAsia="zh-CN"/>
        </w:rPr>
        <w:t>Устройства сбора динамических данных</w:t>
      </w:r>
      <w:bookmarkEnd w:id="0"/>
    </w:p>
    <w:p w:rsidR="000A0756" w:rsidRPr="000A0756" w:rsidRDefault="000A0756" w:rsidP="000A0756">
      <w:pPr>
        <w:widowControl w:val="0"/>
        <w:spacing w:after="120" w:line="240" w:lineRule="auto"/>
        <w:ind w:firstLine="380"/>
        <w:jc w:val="both"/>
        <w:rPr>
          <w:rFonts w:ascii="Times New Roman" w:eastAsia="SimSun" w:hAnsi="Times New Roman" w:cs="Times New Roman"/>
          <w:lang w:eastAsia="zh-CN"/>
        </w:rPr>
      </w:pPr>
      <w:r w:rsidRPr="000A0756">
        <w:rPr>
          <w:rFonts w:ascii="Times New Roman" w:eastAsia="SimSun" w:hAnsi="Times New Roman" w:cs="Times New Roman"/>
          <w:lang w:eastAsia="zh-CN"/>
        </w:rPr>
        <w:t xml:space="preserve">Устройство сбора динамических данных серии </w:t>
      </w:r>
      <w:r w:rsidRPr="000A0756">
        <w:rPr>
          <w:rFonts w:ascii="Times New Roman" w:eastAsia="SimSun" w:hAnsi="Times New Roman" w:cs="Times New Roman"/>
          <w:b/>
          <w:color w:val="FF0000"/>
          <w:lang w:eastAsia="zh-CN"/>
        </w:rPr>
        <w:t xml:space="preserve">TMC </w:t>
      </w:r>
      <w:r w:rsidRPr="000A0756">
        <w:rPr>
          <w:rFonts w:ascii="Times New Roman" w:eastAsia="SimSun" w:hAnsi="Times New Roman" w:cs="Times New Roman"/>
          <w:lang w:eastAsia="zh-CN"/>
        </w:rPr>
        <w:t xml:space="preserve">– это многоканальная система параллельного сбора данных на основе интерфейса USB 2.0. В нем используется два режима входа: напряжение/IEPE. Каналы могут комбинироваться произвольно, поддерживается каскадное подключение нескольких устройств. Используется встроенный усилитель с программируемым коэффициентом усиления и цифровая фильтрация в режиме реального времени. Поддерживается множество функций для выполнения универсальных испытаний и работы с ПО анализа данных. Обеспечивается совместимость данных с ПО </w:t>
      </w:r>
      <w:proofErr w:type="spellStart"/>
      <w:r w:rsidRPr="000A0756">
        <w:rPr>
          <w:rFonts w:ascii="Times New Roman" w:eastAsia="SimSun" w:hAnsi="Times New Roman" w:cs="Times New Roman"/>
          <w:lang w:eastAsia="zh-CN"/>
        </w:rPr>
        <w:t>LabView</w:t>
      </w:r>
      <w:proofErr w:type="spellEnd"/>
      <w:r w:rsidRPr="000A0756">
        <w:rPr>
          <w:rFonts w:ascii="Times New Roman" w:eastAsia="SimSun" w:hAnsi="Times New Roman" w:cs="Times New Roman"/>
          <w:lang w:eastAsia="zh-CN"/>
        </w:rPr>
        <w:t xml:space="preserve"> и MATLAB, что позволяет легко обработать данные. </w:t>
      </w: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8"/>
        <w:gridCol w:w="1157"/>
        <w:gridCol w:w="607"/>
        <w:gridCol w:w="1767"/>
        <w:gridCol w:w="192"/>
        <w:gridCol w:w="984"/>
        <w:gridCol w:w="1069"/>
        <w:gridCol w:w="423"/>
        <w:gridCol w:w="1321"/>
        <w:gridCol w:w="356"/>
        <w:gridCol w:w="966"/>
        <w:gridCol w:w="1332"/>
      </w:tblGrid>
      <w:tr w:rsidR="000A0756" w:rsidRPr="000A0756" w:rsidTr="00155A9E">
        <w:trPr>
          <w:trHeight w:val="969"/>
        </w:trPr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EFB16E" wp14:editId="3576CF15">
                  <wp:extent cx="3048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7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337DD" wp14:editId="72B2EDF4">
                  <wp:extent cx="914400" cy="496570"/>
                  <wp:effectExtent l="0" t="0" r="0" b="0"/>
                  <wp:docPr id="2" name="图片 106" descr="(73NGOL}A]60($%UCY}FI%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6" descr="(73NGOL}A]60($%UCY}FI%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gridSpan w:val="3"/>
            <w:tcBorders>
              <w:bottom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F8D38" wp14:editId="4DB9869E">
                  <wp:extent cx="1202055" cy="496570"/>
                  <wp:effectExtent l="0" t="0" r="0" b="0"/>
                  <wp:docPr id="3" name="图片 107" descr="4LCUD0STT45]@MO$458AU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 descr="4LCUD0STT45]@MO$458AU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gridSpan w:val="2"/>
            <w:tcBorders>
              <w:bottom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6E3D1A" wp14:editId="5D2B0940">
                  <wp:extent cx="923290" cy="443865"/>
                  <wp:effectExtent l="0" t="0" r="0" b="0"/>
                  <wp:docPr id="4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ED149" wp14:editId="6E7FD314">
                  <wp:extent cx="1202055" cy="496570"/>
                  <wp:effectExtent l="0" t="0" r="0" b="0"/>
                  <wp:docPr id="5" name="图片 109" descr="B6HV{NAMYND2GJ%{U35A5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9" descr="B6HV{NAMYND2GJ%{U35A5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gridSpan w:val="2"/>
            <w:tcBorders>
              <w:bottom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1A63E" wp14:editId="5DE37BA7">
                  <wp:extent cx="1263015" cy="513715"/>
                  <wp:effectExtent l="0" t="0" r="0" b="635"/>
                  <wp:docPr id="6" name="图片 110" descr="7IS@S{}I99S{O[D_A0X5Z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 descr="7IS@S{}I99S{O[D_A0X5Z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756" w:rsidRPr="000A0756" w:rsidTr="00155A9E">
        <w:trPr>
          <w:trHeight w:val="361"/>
        </w:trPr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val="en-US"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 xml:space="preserve"> 9004</w:t>
            </w:r>
          </w:p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 xml:space="preserve"> 9004H</w:t>
            </w:r>
          </w:p>
        </w:tc>
        <w:tc>
          <w:tcPr>
            <w:tcW w:w="2566" w:type="dxa"/>
            <w:gridSpan w:val="3"/>
            <w:tcBorders>
              <w:top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 xml:space="preserve"> 9204H</w:t>
            </w:r>
          </w:p>
        </w:tc>
        <w:tc>
          <w:tcPr>
            <w:tcW w:w="2053" w:type="dxa"/>
            <w:gridSpan w:val="2"/>
            <w:tcBorders>
              <w:top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 xml:space="preserve"> 9208</w:t>
            </w:r>
          </w:p>
        </w:tc>
        <w:tc>
          <w:tcPr>
            <w:tcW w:w="2100" w:type="dxa"/>
            <w:gridSpan w:val="3"/>
            <w:tcBorders>
              <w:top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 xml:space="preserve"> 9216</w:t>
            </w:r>
          </w:p>
        </w:tc>
        <w:tc>
          <w:tcPr>
            <w:tcW w:w="2298" w:type="dxa"/>
            <w:gridSpan w:val="2"/>
            <w:tcBorders>
              <w:top w:val="nil"/>
            </w:tcBorders>
            <w:vAlign w:val="center"/>
          </w:tcPr>
          <w:p w:rsidR="000A0756" w:rsidRPr="000A0756" w:rsidRDefault="000A0756" w:rsidP="000A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 xml:space="preserve"> 9232</w:t>
            </w:r>
          </w:p>
        </w:tc>
      </w:tr>
      <w:tr w:rsidR="000A0756" w:rsidRPr="000A0756" w:rsidTr="00155A9E">
        <w:trPr>
          <w:trHeight w:val="83"/>
        </w:trPr>
        <w:tc>
          <w:tcPr>
            <w:tcW w:w="3022" w:type="dxa"/>
            <w:gridSpan w:val="3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24"/>
                <w:lang w:eastAsia="zh-CN"/>
              </w:rPr>
              <w:t xml:space="preserve">Модель </w:t>
            </w:r>
            <w:r w:rsidRPr="000A0756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8"/>
                <w:szCs w:val="24"/>
                <w:lang w:eastAsia="zh-CN"/>
              </w:rPr>
              <w:t>TMC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  <w:t>9004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>9004H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4"/>
                <w:lang w:eastAsia="zh-CN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24"/>
                <w:lang w:eastAsia="zh-CN"/>
              </w:rPr>
              <w:t>9204H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  <w:t>9208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  <w:t>9216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color w:val="000080"/>
                <w:sz w:val="18"/>
                <w:szCs w:val="18"/>
                <w:lang w:val="en-US" w:eastAsia="zh-CN"/>
              </w:rPr>
              <w:t>9232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 w:val="restart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Каналы</w:t>
            </w: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Вход (АЦП)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Выход (ЦАП)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 w:val="restart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Диапазон входного сигнала</w:t>
            </w: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Напряжение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±8,8 В(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IEPE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±8,8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±10 В (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.)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 w:val="restart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Диапазон частот входного сигнала </w:t>
            </w: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Напряжение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 до 50 кГц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 до 200 кГц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 до 100 кГц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 до 50 кГц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 до 50 кГц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 до 50 кГц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IEPE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0,3 Гц до 50 кГц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0,3 Гц до 200 кГц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0,3 Гц до 100 кГц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0,3 Гц до 50 кГц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0,3 Гц до 50 кГц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0,3 Гц до 50 кГц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 w:val="restart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Вход сигнала (АЦП)</w:t>
            </w: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Частота дискретизации сигнального канала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 МГц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 МГц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Одновременная частота дискретизации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750 кГц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 МГц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 кГц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 кГц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Разрядность АЦП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Встроенный усилитель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×1 ,×10 ,×100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×1 ,×10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×0.1 , ×1,×10 ,×100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×1 ,×10,×100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×1 ,×10,×100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×1 ,×10,×100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Точность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±0,5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±0,5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±0,5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±0,5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±0,5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±0,5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 w:val="restart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Выход сигнала</w:t>
            </w:r>
          </w:p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(ЦАП) </w:t>
            </w: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Частота преобразования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 кГц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 кГц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 кГц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 кГц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Диапазон аналогового выхода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±10 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±10 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±10 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±10 </w:t>
            </w:r>
            <w:proofErr w:type="spell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Вампл</w:t>
            </w:r>
            <w:proofErr w:type="spell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0A0756" w:rsidRPr="000A0756" w:rsidTr="00155A9E">
        <w:trPr>
          <w:trHeight w:val="83"/>
        </w:trPr>
        <w:tc>
          <w:tcPr>
            <w:tcW w:w="1258" w:type="dxa"/>
            <w:vMerge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Точность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±1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±1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±1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</w:t>
            </w:r>
            <w:proofErr w:type="gramEnd"/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более ±1</w:t>
            </w: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％</w:t>
            </w:r>
          </w:p>
        </w:tc>
      </w:tr>
      <w:tr w:rsidR="000A0756" w:rsidRPr="000A0756" w:rsidTr="00155A9E">
        <w:trPr>
          <w:trHeight w:val="83"/>
        </w:trPr>
        <w:tc>
          <w:tcPr>
            <w:tcW w:w="3022" w:type="dxa"/>
            <w:gridSpan w:val="3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Габариты, мм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100×122×45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196×122×45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240 x 69 x 277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240 x 69 x 277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240 x 69 x 277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340 x 132 x 277</w:t>
            </w:r>
          </w:p>
        </w:tc>
      </w:tr>
      <w:tr w:rsidR="000A0756" w:rsidRPr="000A0756" w:rsidTr="00155A9E">
        <w:trPr>
          <w:trHeight w:val="83"/>
        </w:trPr>
        <w:tc>
          <w:tcPr>
            <w:tcW w:w="3022" w:type="dxa"/>
            <w:gridSpan w:val="3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Масса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460 г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750 г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3,5 кг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3,5 кг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4,0 кг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6,5 кг</w:t>
            </w:r>
          </w:p>
        </w:tc>
      </w:tr>
      <w:tr w:rsidR="000A0756" w:rsidRPr="000A0756" w:rsidTr="00155A9E">
        <w:trPr>
          <w:trHeight w:val="83"/>
        </w:trPr>
        <w:tc>
          <w:tcPr>
            <w:tcW w:w="3022" w:type="dxa"/>
            <w:gridSpan w:val="3"/>
            <w:vAlign w:val="center"/>
          </w:tcPr>
          <w:p w:rsidR="000A0756" w:rsidRPr="000A0756" w:rsidRDefault="000A0756" w:rsidP="000A0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Источник питания</w:t>
            </w:r>
          </w:p>
        </w:tc>
        <w:tc>
          <w:tcPr>
            <w:tcW w:w="1767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USB, автономное питание</w:t>
            </w:r>
          </w:p>
        </w:tc>
        <w:tc>
          <w:tcPr>
            <w:tcW w:w="1176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7,5 В</w:t>
            </w:r>
          </w:p>
        </w:tc>
        <w:tc>
          <w:tcPr>
            <w:tcW w:w="149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220 В, 50 Гц</w:t>
            </w:r>
          </w:p>
        </w:tc>
        <w:tc>
          <w:tcPr>
            <w:tcW w:w="1321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220 В, 50 Гц</w:t>
            </w:r>
          </w:p>
        </w:tc>
        <w:tc>
          <w:tcPr>
            <w:tcW w:w="1322" w:type="dxa"/>
            <w:gridSpan w:val="2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220 В, 50 Гц</w:t>
            </w:r>
          </w:p>
        </w:tc>
        <w:tc>
          <w:tcPr>
            <w:tcW w:w="1329" w:type="dxa"/>
            <w:vAlign w:val="center"/>
          </w:tcPr>
          <w:p w:rsidR="000A0756" w:rsidRPr="000A0756" w:rsidRDefault="000A0756" w:rsidP="000A0756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220 В, 50 Гц</w:t>
            </w:r>
          </w:p>
        </w:tc>
      </w:tr>
    </w:tbl>
    <w:p w:rsidR="000A0756" w:rsidRPr="000A0756" w:rsidRDefault="000A0756" w:rsidP="000A0756">
      <w:pPr>
        <w:widowControl w:val="0"/>
        <w:spacing w:after="0" w:line="240" w:lineRule="auto"/>
        <w:ind w:firstLineChars="200" w:firstLine="361"/>
        <w:jc w:val="both"/>
        <w:rPr>
          <w:rFonts w:ascii="Times New Roman" w:eastAsia="SimSun" w:hAnsi="Times New Roman" w:cs="Times New Roman"/>
          <w:b/>
          <w:color w:val="FF0000"/>
          <w:kern w:val="2"/>
          <w:sz w:val="18"/>
          <w:szCs w:val="18"/>
          <w:lang w:val="en-US" w:eastAsia="zh-CN"/>
        </w:rPr>
      </w:pPr>
    </w:p>
    <w:p w:rsidR="000A0756" w:rsidRPr="000A0756" w:rsidRDefault="000A0756" w:rsidP="000A0756">
      <w:pPr>
        <w:widowControl w:val="0"/>
        <w:spacing w:after="120" w:line="240" w:lineRule="auto"/>
        <w:ind w:firstLine="380"/>
        <w:jc w:val="both"/>
        <w:rPr>
          <w:rFonts w:ascii="Times New Roman" w:eastAsia="SimSun" w:hAnsi="Times New Roman" w:cs="Times New Roman"/>
          <w:lang w:eastAsia="zh-CN"/>
        </w:rPr>
      </w:pPr>
      <w:r w:rsidRPr="000A0756">
        <w:rPr>
          <w:rFonts w:ascii="Times New Roman" w:eastAsia="SimSun" w:hAnsi="Times New Roman" w:cs="Times New Roman"/>
          <w:b/>
          <w:color w:val="FF0000"/>
          <w:lang w:eastAsia="zh-CN"/>
        </w:rPr>
        <w:t>TMC</w:t>
      </w:r>
      <w:r w:rsidRPr="000A0756">
        <w:rPr>
          <w:rFonts w:ascii="Times New Roman" w:eastAsia="SimSun" w:hAnsi="Times New Roman" w:cs="Times New Roman"/>
          <w:b/>
          <w:lang w:eastAsia="zh-CN"/>
        </w:rPr>
        <w:t>9096: система испытаний на динамическую деформацию, 96 каналов</w:t>
      </w:r>
      <w:r w:rsidRPr="000A0756">
        <w:rPr>
          <w:rFonts w:ascii="Times New Roman" w:eastAsia="SimSun" w:hAnsi="Times New Roman" w:cs="Times New Roman"/>
          <w:lang w:eastAsia="zh-CN"/>
        </w:rPr>
        <w:t>.</w:t>
      </w:r>
      <w:bookmarkStart w:id="1" w:name="_GoBack"/>
      <w:bookmarkEnd w:id="1"/>
    </w:p>
    <w:p w:rsidR="000A5E41" w:rsidRPr="000A0756" w:rsidRDefault="000A0756" w:rsidP="000A0756">
      <w:r w:rsidRPr="000A0756">
        <w:rPr>
          <w:rFonts w:ascii="Times New Roman" w:eastAsia="SimSun" w:hAnsi="Times New Roman" w:cs="Times New Roman"/>
          <w:kern w:val="2"/>
          <w:lang w:eastAsia="zh-CN"/>
        </w:rPr>
        <w:t>Базовый модуль имеет четыре канала управления и сбора данных деформации. Возможно расширение до систем сбора данных и испытаний на динамическую деформацию, обладающих 96 каналами. Частота дискретизации каждого канала может составлять до 100 кГц, параллельная частота дискретизации составляет до 20</w:t>
      </w:r>
      <w:r w:rsidRPr="000A0756">
        <w:rPr>
          <w:rFonts w:ascii="Times New Roman" w:eastAsia="SimSun" w:hAnsi="Times New Roman" w:cs="Times New Roman"/>
          <w:kern w:val="2"/>
          <w:lang w:val="en-US" w:eastAsia="zh-CN"/>
        </w:rPr>
        <w:t> </w:t>
      </w:r>
      <w:r w:rsidRPr="000A0756">
        <w:rPr>
          <w:rFonts w:ascii="Times New Roman" w:eastAsia="SimSun" w:hAnsi="Times New Roman" w:cs="Times New Roman"/>
          <w:kern w:val="2"/>
          <w:lang w:eastAsia="zh-CN"/>
        </w:rPr>
        <w:t>кГц на канал.</w:t>
      </w:r>
    </w:p>
    <w:sectPr w:rsidR="000A5E41" w:rsidRPr="000A0756" w:rsidSect="00155A9E">
      <w:pgSz w:w="11906" w:h="16838"/>
      <w:pgMar w:top="0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56"/>
    <w:rsid w:val="000A0756"/>
    <w:rsid w:val="000A5E41"/>
    <w:rsid w:val="000B2C75"/>
    <w:rsid w:val="00155A9E"/>
    <w:rsid w:val="005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CE9F-CEC1-4CD2-948F-84DE9D3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Двойников</dc:creator>
  <cp:keywords/>
  <dc:description/>
  <cp:lastModifiedBy>Александр Двойников</cp:lastModifiedBy>
  <cp:revision>1</cp:revision>
  <dcterms:created xsi:type="dcterms:W3CDTF">2014-12-19T07:50:00Z</dcterms:created>
  <dcterms:modified xsi:type="dcterms:W3CDTF">2014-12-19T07:56:00Z</dcterms:modified>
</cp:coreProperties>
</file>